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E4" w:rsidRPr="000F2A29" w:rsidRDefault="000424E4" w:rsidP="000F2A29">
      <w:pPr>
        <w:jc w:val="center"/>
        <w:rPr>
          <w:rFonts w:ascii="Cordia New" w:hAnsi="Cordia New" w:cs="Cordia New"/>
          <w:b/>
          <w:bCs/>
          <w:sz w:val="28"/>
        </w:rPr>
      </w:pPr>
      <w:r w:rsidRPr="000F2A29">
        <w:rPr>
          <w:rFonts w:ascii="Cordia New" w:hAnsi="Cordia New" w:cs="Cordia New"/>
          <w:b/>
          <w:bCs/>
          <w:sz w:val="28"/>
        </w:rPr>
        <w:t>EPA 1: Manage care of common electrolytes and acid-base disturbances</w:t>
      </w:r>
    </w:p>
    <w:p w:rsidR="000424E4" w:rsidRPr="000F2A29" w:rsidRDefault="000424E4" w:rsidP="000F2A29">
      <w:pPr>
        <w:jc w:val="center"/>
        <w:rPr>
          <w:rFonts w:ascii="Cordia New" w:hAnsi="Cordia New" w:cs="Cordia New"/>
          <w:i/>
          <w:iCs/>
          <w:sz w:val="24"/>
          <w:szCs w:val="24"/>
        </w:rPr>
      </w:pPr>
      <w:r w:rsidRPr="000F2A29">
        <w:rPr>
          <w:rFonts w:ascii="Cordia New" w:hAnsi="Cordia New" w:cs="Cordia New"/>
          <w:i/>
          <w:iCs/>
          <w:sz w:val="24"/>
          <w:szCs w:val="24"/>
        </w:rPr>
        <w:t xml:space="preserve">(MPL 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สำหรับ </w:t>
      </w:r>
      <w:r w:rsidRPr="000F2A29">
        <w:rPr>
          <w:rFonts w:ascii="Cordia New" w:hAnsi="Cordia New" w:cs="Cordia New"/>
          <w:i/>
          <w:iCs/>
          <w:sz w:val="24"/>
          <w:szCs w:val="24"/>
        </w:rPr>
        <w:t>F1 – Level 3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Pr="000F2A29">
        <w:rPr>
          <w:rFonts w:ascii="Cordia New" w:hAnsi="Cordia New" w:cs="Cordia New"/>
          <w:i/>
          <w:iCs/>
          <w:sz w:val="24"/>
          <w:szCs w:val="24"/>
        </w:rPr>
        <w:t>10 cases, F2 – Level 5</w:t>
      </w:r>
      <w:r w:rsidRPr="000F2A29">
        <w:rPr>
          <w:rFonts w:ascii="Cordia New" w:hAnsi="Cordia New" w:cs="Cordia New"/>
          <w:i/>
          <w:iCs/>
          <w:sz w:val="24"/>
          <w:szCs w:val="24"/>
          <w:cs/>
        </w:rPr>
        <w:t xml:space="preserve"> ในทุกหัวข้อ </w:t>
      </w:r>
      <w:r w:rsidRPr="000F2A29">
        <w:rPr>
          <w:rFonts w:ascii="Cordia New" w:hAnsi="Cordia New" w:cs="Cordia New"/>
          <w:i/>
          <w:iCs/>
          <w:sz w:val="24"/>
          <w:szCs w:val="24"/>
        </w:rPr>
        <w:t>10 cases)</w:t>
      </w:r>
    </w:p>
    <w:p w:rsidR="000424E4" w:rsidRDefault="000F2A29" w:rsidP="000424E4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  <w:cs/>
        </w:rPr>
        <w:t>ชื่อ</w:t>
      </w:r>
      <w:r w:rsidR="00004C17">
        <w:rPr>
          <w:rFonts w:ascii="Cordia New" w:hAnsi="Cordia New" w:cs="Cordia New" w:hint="cs"/>
          <w:sz w:val="28"/>
          <w:cs/>
        </w:rPr>
        <w:t>แพทย์ประจำบ้านต่อยอด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</w:t>
      </w:r>
      <w:r>
        <w:rPr>
          <w:rFonts w:ascii="Cordia New" w:hAnsi="Cordia New" w:cs="Cordia New" w:hint="cs"/>
          <w:sz w:val="28"/>
          <w:cs/>
        </w:rPr>
        <w:t>..............</w:t>
      </w:r>
      <w:r w:rsidR="000424E4" w:rsidRPr="000424E4">
        <w:rPr>
          <w:rFonts w:ascii="Cordia New" w:hAnsi="Cordia New" w:cs="Cordia New"/>
          <w:sz w:val="28"/>
          <w:cs/>
        </w:rPr>
        <w:t>.........................................................ชั้น</w:t>
      </w:r>
      <w:r w:rsidR="000424E4">
        <w:rPr>
          <w:rFonts w:ascii="Cordia New" w:hAnsi="Cordia New" w:cs="Cordia New"/>
          <w:sz w:val="28"/>
          <w:cs/>
        </w:rPr>
        <w:t>ปีที่</w:t>
      </w:r>
      <w:r w:rsidR="000424E4">
        <w:rPr>
          <w:rFonts w:ascii="Cordia New" w:hAnsi="Cordia New" w:cs="Cordia New" w:hint="cs"/>
          <w:sz w:val="28"/>
          <w:cs/>
        </w:rPr>
        <w:t xml:space="preserve"> </w:t>
      </w:r>
      <w:r w:rsidR="000424E4">
        <w:rPr>
          <w:rFonts w:ascii="Cordia New" w:hAnsi="Cordia New" w:cs="Cordia New"/>
          <w:sz w:val="28"/>
        </w:rPr>
        <w:t xml:space="preserve">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1 </w:t>
      </w:r>
      <w:r w:rsidR="000424E4">
        <w:rPr>
          <w:rFonts w:ascii="Cordia New" w:hAnsi="Cordia New" w:cs="Cordia New"/>
          <w:sz w:val="28"/>
        </w:rPr>
        <w:sym w:font="Wingdings" w:char="F071"/>
      </w:r>
      <w:r w:rsidR="000424E4">
        <w:rPr>
          <w:rFonts w:ascii="Cordia New" w:hAnsi="Cordia New" w:cs="Cordia New"/>
          <w:sz w:val="28"/>
        </w:rPr>
        <w:t xml:space="preserve"> 2</w:t>
      </w:r>
    </w:p>
    <w:p w:rsidR="00E73725" w:rsidRPr="00004C17" w:rsidRDefault="000424E4" w:rsidP="000424E4">
      <w:pPr>
        <w:rPr>
          <w:rFonts w:ascii="Cordia New" w:hAnsi="Cordia New" w:cs="Cordia New"/>
          <w:i/>
          <w:iCs/>
          <w:sz w:val="20"/>
          <w:szCs w:val="20"/>
        </w:rPr>
      </w:pP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Level 1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สามารถปฏิบัติงานได้ภายใต้การควบคุมของอาจารย์อย่างใกล้ชิด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2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สามารถปฏิบัติงานได้ภายใต้การชี้แนะของอาจารย์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3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สามารถปฏิบัติงานได้โดยมีอาจารย์ให้ความช่วยเหลือเมื่อต้องการ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4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</w:t>
      </w:r>
      <w:r w:rsidRPr="00004C17">
        <w:rPr>
          <w:rFonts w:ascii="Cordia New" w:hAnsi="Cordia New" w:cs="Cordia New"/>
          <w:i/>
          <w:iCs/>
          <w:sz w:val="20"/>
          <w:szCs w:val="20"/>
        </w:rPr>
        <w:t xml:space="preserve">, Level 5 = </w:t>
      </w:r>
      <w:r w:rsidRPr="00004C17">
        <w:rPr>
          <w:rFonts w:ascii="Cordia New" w:hAnsi="Cordia New" w:cs="Cordia New"/>
          <w:i/>
          <w:iCs/>
          <w:sz w:val="20"/>
          <w:szCs w:val="20"/>
          <w:cs/>
        </w:rPr>
        <w:t>สามารถปฏิบัติงานได้ด้วยตนเอง และควบคุมผู้ที่มีประสบการณ์น้อยกว่า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3684"/>
        <w:gridCol w:w="991"/>
      </w:tblGrid>
      <w:tr w:rsidR="000F2A29" w:rsidTr="00043C54">
        <w:tc>
          <w:tcPr>
            <w:tcW w:w="4675" w:type="dxa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ชื่อผู้ป่วย...................................................................</w:t>
            </w:r>
          </w:p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HN</w:t>
            </w:r>
            <w:r>
              <w:rPr>
                <w:rFonts w:ascii="Cordia New" w:hAnsi="Cordia New" w:cs="Cordia New" w:hint="cs"/>
                <w:sz w:val="28"/>
                <w:cs/>
              </w:rPr>
              <w:t>......................................</w:t>
            </w:r>
          </w:p>
        </w:tc>
        <w:tc>
          <w:tcPr>
            <w:tcW w:w="4675" w:type="dxa"/>
            <w:gridSpan w:val="2"/>
          </w:tcPr>
          <w:p w:rsidR="000F2A29" w:rsidRDefault="000F2A29" w:rsidP="00004C1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โรค/ภาวะ........................................................................</w:t>
            </w:r>
          </w:p>
          <w:p w:rsidR="00412662" w:rsidRDefault="00412662" w:rsidP="00412662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(</w:t>
            </w:r>
            <w:r>
              <w:rPr>
                <w:rFonts w:ascii="Cordia New" w:hAnsi="Cordia New" w:cs="Cordia New" w:hint="cs"/>
                <w:sz w:val="28"/>
                <w:cs/>
              </w:rPr>
              <w:t>ทำเครื่องหมายเลือกโรค/ภาวะที่จะประเมินด้านหลัง)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หัวข้อการประเมิน</w:t>
            </w:r>
          </w:p>
        </w:tc>
        <w:tc>
          <w:tcPr>
            <w:tcW w:w="991" w:type="dxa"/>
          </w:tcPr>
          <w:p w:rsidR="00004C17" w:rsidRDefault="00004C17" w:rsidP="00004C17">
            <w:pPr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EPA</w:t>
            </w: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Extract appropriate patient history to clarify the onset and the cause of electrolytes and/or acid-base disturbances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Apply relevant physical examination to assess volume status and identify signs and symptoms related to electrolytes and/or acid-base disturbances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 xml:space="preserve">Order and interpret necessary laboratory and radiologic studies in the evaluation of the cause and </w:t>
            </w:r>
            <w:r w:rsidR="002C6808">
              <w:rPr>
                <w:rFonts w:ascii="Cordia New" w:hAnsi="Cordia New" w:cs="Cordia New"/>
                <w:sz w:val="28"/>
              </w:rPr>
              <w:t>severity of electrolyte</w:t>
            </w:r>
            <w:r w:rsidRPr="000424E4">
              <w:rPr>
                <w:rFonts w:ascii="Cordia New" w:hAnsi="Cordia New" w:cs="Cordia New"/>
                <w:sz w:val="28"/>
              </w:rPr>
              <w:t xml:space="preserve"> and acid-base disorder</w:t>
            </w:r>
            <w:r w:rsidR="002C6808">
              <w:rPr>
                <w:rFonts w:ascii="Cordia New" w:hAnsi="Cordia New" w:cs="Cordia New"/>
                <w:sz w:val="28"/>
              </w:rPr>
              <w:t>s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Integrate appropriate pharmacologic management and non-pharmacologic management</w:t>
            </w:r>
          </w:p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Record proper and adequate clinical information in medical records</w:t>
            </w:r>
          </w:p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Interpersonal and communication skills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(การน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เสนอข้อมูลผู้ป่วย ถ่ายทอดความรู้ให้น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ิสิตแพทย์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และแพทย์ประจำบ้าน การสื่อสารให้ข้อมูลแก่ญาติและผู้ป่วย มนุ</w:t>
            </w:r>
            <w:proofErr w:type="spellStart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ษย</w:t>
            </w:r>
            <w:proofErr w:type="spellEnd"/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สัมพันธ์ เป็นที่ปรึกษาให้กับบุคลากรอื่น)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Professionalism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(คุณธรรม จริยธรรม การตัดสินใจ ประเมินสถานการณ์ แก้ปัญหาเฉพาะหน้า สนใจใฝ่รู้ ความรับผิดชอบ ค</w:t>
            </w:r>
            <w:r w:rsidRPr="00004C17">
              <w:rPr>
                <w:rFonts w:ascii="Cordia New" w:hAnsi="Cordia New" w:cs="Cordia New" w:hint="cs"/>
                <w:i/>
                <w:iCs/>
                <w:sz w:val="28"/>
                <w:cs/>
              </w:rPr>
              <w:t>ำ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นึงถึงประโยชน์ส่วนรวม)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004C17" w:rsidTr="00004C17">
        <w:tc>
          <w:tcPr>
            <w:tcW w:w="8359" w:type="dxa"/>
            <w:gridSpan w:val="2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  <w:r w:rsidRPr="000424E4">
              <w:rPr>
                <w:rFonts w:ascii="Cordia New" w:hAnsi="Cordia New" w:cs="Cordia New"/>
                <w:sz w:val="28"/>
              </w:rPr>
              <w:t>System-based practice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004C17">
              <w:rPr>
                <w:rFonts w:ascii="Cordia New" w:hAnsi="Cordia New" w:cs="Cordia New"/>
                <w:i/>
                <w:iCs/>
                <w:sz w:val="28"/>
                <w:cs/>
              </w:rPr>
              <w:t>(ความรู้เกี่ยวกับระบบสุขภาพและระบบยา ความปลอดภัยและสิทธิของผู้ป่วย การใช้ทรัพยากรอย่างเหมาะสม ส่วนร่วมในระบบพัฒนาคุณภาพการดูแลรักษาผู้ป่วย)</w:t>
            </w:r>
          </w:p>
        </w:tc>
        <w:tc>
          <w:tcPr>
            <w:tcW w:w="991" w:type="dxa"/>
          </w:tcPr>
          <w:p w:rsidR="00004C17" w:rsidRDefault="00004C17" w:rsidP="00004C17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:rsidR="00004C17" w:rsidRDefault="00004C17" w:rsidP="00004C17">
      <w:pPr>
        <w:rPr>
          <w:rFonts w:ascii="Cordia New" w:hAnsi="Cordia New" w:cs="Cordia New"/>
          <w:sz w:val="28"/>
        </w:rPr>
      </w:pPr>
    </w:p>
    <w:p w:rsidR="000424E4" w:rsidRDefault="00004C17" w:rsidP="00004C17">
      <w:pPr>
        <w:rPr>
          <w:rFonts w:ascii="Cordia New" w:hAnsi="Cordia New" w:cs="Cordia New"/>
          <w:sz w:val="28"/>
        </w:rPr>
      </w:pPr>
      <w:r w:rsidRPr="00004C17">
        <w:rPr>
          <w:rFonts w:ascii="Cordia New" w:hAnsi="Cordia New" w:cs="Cordia New"/>
          <w:sz w:val="28"/>
          <w:cs/>
        </w:rPr>
        <w:t>การให้ข้อมูลย้อนกลับ (</w:t>
      </w:r>
      <w:r w:rsidRPr="00004C17">
        <w:rPr>
          <w:rFonts w:ascii="Cordia New" w:hAnsi="Cordia New" w:cs="Cordia New"/>
          <w:sz w:val="28"/>
        </w:rPr>
        <w:t xml:space="preserve">Feedback) </w:t>
      </w:r>
      <w:r>
        <w:rPr>
          <w:rFonts w:ascii="Cordia New" w:hAnsi="Cordia New" w:cs="Cordia New"/>
          <w:sz w:val="28"/>
          <w:cs/>
        </w:rPr>
        <w:t>หรือค</w:t>
      </w:r>
      <w:r>
        <w:rPr>
          <w:rFonts w:ascii="Cordia New" w:hAnsi="Cordia New" w:cs="Cordia New" w:hint="cs"/>
          <w:sz w:val="28"/>
          <w:cs/>
        </w:rPr>
        <w:t>ำ</w:t>
      </w:r>
      <w:r w:rsidRPr="00004C17">
        <w:rPr>
          <w:rFonts w:ascii="Cordia New" w:hAnsi="Cordia New" w:cs="Cordia New"/>
          <w:sz w:val="28"/>
          <w:cs/>
        </w:rPr>
        <w:t>แนะน</w:t>
      </w:r>
      <w:r>
        <w:rPr>
          <w:rFonts w:ascii="Cordia New" w:hAnsi="Cordia New" w:cs="Cordia New" w:hint="cs"/>
          <w:sz w:val="28"/>
          <w:cs/>
        </w:rPr>
        <w:t>ำ</w:t>
      </w:r>
      <w:r>
        <w:rPr>
          <w:rFonts w:ascii="Cordia New" w:hAnsi="Cordia New" w:cs="Cordia New"/>
          <w:sz w:val="28"/>
          <w:cs/>
        </w:rPr>
        <w:t>อื่น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  <w:cs/>
        </w:rPr>
        <w:t>ๆ</w:t>
      </w:r>
      <w:r>
        <w:rPr>
          <w:rFonts w:ascii="Cordia New" w:hAnsi="Cordia New" w:cs="Cordia New" w:hint="cs"/>
          <w:sz w:val="28"/>
          <w:cs/>
        </w:rPr>
        <w:t>.........</w:t>
      </w:r>
      <w:r w:rsidRPr="00004C17">
        <w:rPr>
          <w:rFonts w:ascii="Cordia New" w:hAnsi="Cordia New" w:cs="Cordia New"/>
          <w:sz w:val="28"/>
          <w:cs/>
        </w:rPr>
        <w:t>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F2A29" w:rsidRDefault="000F2A29" w:rsidP="000F2A29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04C17" w:rsidRDefault="00004C17" w:rsidP="00004C17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วันที่....................................................</w:t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ลายเซ็นอาจารย์.......</w:t>
      </w:r>
      <w:r w:rsidR="000F2A29">
        <w:rPr>
          <w:rFonts w:ascii="Cordia New" w:hAnsi="Cordia New" w:cs="Cordia New" w:hint="cs"/>
          <w:sz w:val="28"/>
          <w:cs/>
        </w:rPr>
        <w:t>...</w:t>
      </w:r>
      <w:r>
        <w:rPr>
          <w:rFonts w:ascii="Cordia New" w:hAnsi="Cordia New" w:cs="Cordia New" w:hint="cs"/>
          <w:sz w:val="28"/>
          <w:cs/>
        </w:rPr>
        <w:t>.................................................................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4569"/>
      </w:tblGrid>
      <w:tr w:rsidR="00CC3CB8" w:rsidRPr="00CC3CB8">
        <w:trPr>
          <w:trHeight w:val="175"/>
        </w:trPr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Entrustable</w:t>
            </w:r>
            <w:proofErr w:type="spellEnd"/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professional activities </w:t>
            </w:r>
          </w:p>
        </w:tc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3C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Kidney Disorders on Level 1 and 2 </w:t>
            </w:r>
          </w:p>
        </w:tc>
      </w:tr>
      <w:tr w:rsidR="00CC3CB8" w:rsidRPr="00CC3CB8">
        <w:trPr>
          <w:trHeight w:val="2702"/>
        </w:trPr>
        <w:tc>
          <w:tcPr>
            <w:tcW w:w="4569" w:type="dxa"/>
          </w:tcPr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1. Electrolytes and Acid-Base disturbances </w:t>
            </w:r>
          </w:p>
          <w:p w:rsidR="00CC3CB8" w:rsidRPr="00CC3CB8" w:rsidRDefault="00CC3CB8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69" w:type="dxa"/>
          </w:tcPr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Polyuria (R35.-)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Hyponatremia (E87.1)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Hypernatremia (E87.0)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Hypokalemia (E87.6)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Hyperkalemia (E87.5)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Hypocalcemia (E83.51)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Hypercalcemia (E83.52)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Disorders of phosphorus metabolism (E83.39)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Hypomagnesemia (E83.42)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>Hypermagnesemia</w:t>
            </w:r>
            <w:proofErr w:type="spellEnd"/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 (E83.41) </w:t>
            </w:r>
          </w:p>
          <w:p w:rsidR="00CC3CB8" w:rsidRPr="00CC3CB8" w:rsidRDefault="00412662" w:rsidP="00412662">
            <w:pPr>
              <w:autoSpaceDE w:val="0"/>
              <w:autoSpaceDN w:val="0"/>
              <w:adjustRightInd w:val="0"/>
              <w:spacing w:after="0" w:line="240" w:lineRule="auto"/>
              <w:ind w:left="528" w:hanging="528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Normal anion-gap and wide anion-gap metabolic acidosis (E87.2)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Metabolic Alkalosis (E87.3)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Renal tubular acidosis (N25.89)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Bartter’s syndrome (E26.81) </w:t>
            </w:r>
          </w:p>
          <w:p w:rsidR="00CC3CB8" w:rsidRPr="00CC3CB8" w:rsidRDefault="00412662" w:rsidP="00CC3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>Gitelman</w:t>
            </w:r>
            <w:proofErr w:type="spellEnd"/>
            <w:r w:rsidR="00CC3CB8" w:rsidRPr="00CC3CB8">
              <w:rPr>
                <w:rFonts w:ascii="TH SarabunPSK" w:hAnsi="TH SarabunPSK" w:cs="TH SarabunPSK"/>
                <w:color w:val="000000"/>
                <w:sz w:val="28"/>
              </w:rPr>
              <w:t xml:space="preserve"> syndrome (N25.8) </w:t>
            </w:r>
          </w:p>
        </w:tc>
      </w:tr>
    </w:tbl>
    <w:p w:rsidR="00CC3CB8" w:rsidRPr="000424E4" w:rsidRDefault="00CC3CB8" w:rsidP="00004C17">
      <w:pPr>
        <w:rPr>
          <w:rFonts w:ascii="Cordia New" w:hAnsi="Cordia New" w:cs="Cordia New"/>
          <w:sz w:val="28"/>
        </w:rPr>
      </w:pPr>
      <w:bookmarkStart w:id="0" w:name="_GoBack"/>
      <w:bookmarkEnd w:id="0"/>
    </w:p>
    <w:sectPr w:rsidR="00CC3CB8" w:rsidRPr="00042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E4"/>
    <w:rsid w:val="00004C17"/>
    <w:rsid w:val="000424E4"/>
    <w:rsid w:val="000F2A29"/>
    <w:rsid w:val="002C6808"/>
    <w:rsid w:val="00412662"/>
    <w:rsid w:val="00CC3CB8"/>
    <w:rsid w:val="00E7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79AB"/>
  <w15:chartTrackingRefBased/>
  <w15:docId w15:val="{CF621EFE-7C88-421D-BC0E-ECE3723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CB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Pisut Katavetin</dc:creator>
  <cp:keywords/>
  <dc:description/>
  <cp:lastModifiedBy>Pisut Katavetin</cp:lastModifiedBy>
  <cp:revision>2</cp:revision>
  <dcterms:created xsi:type="dcterms:W3CDTF">2019-10-01T04:41:00Z</dcterms:created>
  <dcterms:modified xsi:type="dcterms:W3CDTF">2019-10-01T04:41:00Z</dcterms:modified>
</cp:coreProperties>
</file>