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0D" w:rsidRDefault="003C440D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3C440D">
        <w:rPr>
          <w:rFonts w:ascii="Cordia New" w:hAnsi="Cordia New" w:cs="Cordia New"/>
          <w:b/>
          <w:bCs/>
          <w:sz w:val="28"/>
        </w:rPr>
        <w:t xml:space="preserve">EPA 2: Manage care of glomerular and </w:t>
      </w:r>
      <w:proofErr w:type="spellStart"/>
      <w:r w:rsidRPr="003C440D">
        <w:rPr>
          <w:rFonts w:ascii="Cordia New" w:hAnsi="Cordia New" w:cs="Cordia New"/>
          <w:b/>
          <w:bCs/>
          <w:sz w:val="28"/>
        </w:rPr>
        <w:t>vaso</w:t>
      </w:r>
      <w:proofErr w:type="spellEnd"/>
      <w:r w:rsidRPr="003C440D">
        <w:rPr>
          <w:rFonts w:ascii="Cordia New" w:hAnsi="Cordia New" w:cs="Cordia New"/>
          <w:b/>
          <w:bCs/>
          <w:sz w:val="28"/>
        </w:rPr>
        <w:t xml:space="preserve">-occlusive disease 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42521E" w:rsidRDefault="0042521E" w:rsidP="00004C17">
            <w:pPr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 xml:space="preserve">Extract appropriate patient history </w:t>
            </w:r>
            <w:r w:rsidR="00127700" w:rsidRPr="00127700">
              <w:rPr>
                <w:rFonts w:ascii="Cordia New" w:hAnsi="Cordia New" w:cs="Cordia New"/>
                <w:sz w:val="28"/>
              </w:rPr>
              <w:t xml:space="preserve">pertaining to glomerular and </w:t>
            </w:r>
            <w:proofErr w:type="spellStart"/>
            <w:r w:rsidR="00127700" w:rsidRPr="00127700">
              <w:rPr>
                <w:rFonts w:ascii="Cordia New" w:hAnsi="Cordia New" w:cs="Cordia New"/>
                <w:sz w:val="28"/>
              </w:rPr>
              <w:t>vaso</w:t>
            </w:r>
            <w:proofErr w:type="spellEnd"/>
            <w:r w:rsidR="00127700" w:rsidRPr="00127700">
              <w:rPr>
                <w:rFonts w:ascii="Cordia New" w:hAnsi="Cordia New" w:cs="Cordia New"/>
                <w:sz w:val="28"/>
              </w:rPr>
              <w:t>-occlusive diseases</w:t>
            </w:r>
          </w:p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 xml:space="preserve">Apply relevant physical examination that assesses for signs of vasculitis and manifestations of glomerular and </w:t>
            </w:r>
            <w:proofErr w:type="spellStart"/>
            <w:r w:rsidRPr="00127700">
              <w:rPr>
                <w:rFonts w:ascii="Cordia New" w:hAnsi="Cordia New" w:cs="Cordia New"/>
                <w:sz w:val="28"/>
              </w:rPr>
              <w:t>vaso</w:t>
            </w:r>
            <w:proofErr w:type="spellEnd"/>
            <w:r w:rsidRPr="00127700">
              <w:rPr>
                <w:rFonts w:ascii="Cordia New" w:hAnsi="Cordia New" w:cs="Cordia New"/>
                <w:sz w:val="28"/>
              </w:rPr>
              <w:t>-occlusive disorder</w:t>
            </w:r>
            <w:r w:rsidR="00C5395F">
              <w:rPr>
                <w:rFonts w:ascii="Cordia New" w:hAnsi="Cordia New" w:cs="Cordia New"/>
                <w:sz w:val="28"/>
              </w:rPr>
              <w:t>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 xml:space="preserve">Order and interpret necessary laboratory studies in evaluating the cause and complications of glomerular and </w:t>
            </w:r>
            <w:proofErr w:type="spellStart"/>
            <w:r w:rsidRPr="00127700">
              <w:rPr>
                <w:rFonts w:ascii="Cordia New" w:hAnsi="Cordia New" w:cs="Cordia New"/>
                <w:sz w:val="28"/>
              </w:rPr>
              <w:t>vaso</w:t>
            </w:r>
            <w:proofErr w:type="spellEnd"/>
            <w:r w:rsidRPr="00127700">
              <w:rPr>
                <w:rFonts w:ascii="Cordia New" w:hAnsi="Cordia New" w:cs="Cordia New"/>
                <w:sz w:val="28"/>
              </w:rPr>
              <w:t>-occlusive disease</w:t>
            </w:r>
            <w:r w:rsidR="00C5395F">
              <w:rPr>
                <w:rFonts w:ascii="Cordia New" w:hAnsi="Cordia New" w:cs="Cordia New"/>
                <w:sz w:val="28"/>
              </w:rPr>
              <w:t>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127700" w:rsidTr="00004C17">
        <w:tc>
          <w:tcPr>
            <w:tcW w:w="8359" w:type="dxa"/>
            <w:gridSpan w:val="2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>Understand risks, benefits, indications and contraindications of kidney biopsy</w:t>
            </w:r>
          </w:p>
          <w:p w:rsidR="00127700" w:rsidRPr="000424E4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127700" w:rsidRDefault="00127700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127700" w:rsidP="00004C17">
            <w:pPr>
              <w:rPr>
                <w:rFonts w:ascii="Cordia New" w:hAnsi="Cordia New" w:cs="Cordia New"/>
                <w:sz w:val="28"/>
              </w:rPr>
            </w:pPr>
            <w:r w:rsidRPr="00127700">
              <w:rPr>
                <w:rFonts w:ascii="Cordia New" w:hAnsi="Cordia New" w:cs="Cordia New"/>
                <w:sz w:val="28"/>
              </w:rPr>
              <w:t>Integrate appropriate management including the use of high dose immunosuppressive drugs and plasmapheresis when indicated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569"/>
      </w:tblGrid>
      <w:tr w:rsidR="00CC3CB8" w:rsidRPr="00CC3CB8">
        <w:trPr>
          <w:trHeight w:val="175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902A8" w:rsidRPr="00CC3CB8">
        <w:trPr>
          <w:trHeight w:val="2702"/>
        </w:trPr>
        <w:tc>
          <w:tcPr>
            <w:tcW w:w="4569" w:type="dxa"/>
          </w:tcPr>
          <w:p w:rsidR="008902A8" w:rsidRDefault="008902A8" w:rsidP="00890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Glomerular and </w:t>
            </w:r>
            <w:proofErr w:type="spellStart"/>
            <w:r>
              <w:rPr>
                <w:sz w:val="28"/>
                <w:szCs w:val="28"/>
              </w:rPr>
              <w:t>vaso</w:t>
            </w:r>
            <w:proofErr w:type="spellEnd"/>
            <w:r>
              <w:rPr>
                <w:sz w:val="28"/>
                <w:szCs w:val="28"/>
              </w:rPr>
              <w:t xml:space="preserve">-occlusive disease </w:t>
            </w:r>
          </w:p>
          <w:p w:rsidR="008902A8" w:rsidRDefault="00A55DCA" w:rsidP="008902A8">
            <w:pPr>
              <w:pStyle w:val="Default"/>
              <w:rPr>
                <w:sz w:val="28"/>
                <w:szCs w:val="28"/>
              </w:rPr>
            </w:pPr>
            <w:r w:rsidRPr="00CC3CB8">
              <w:rPr>
                <w:b/>
                <w:bCs/>
                <w:sz w:val="32"/>
                <w:szCs w:val="32"/>
              </w:rPr>
              <w:t>Kidney Disorders on Level 1 and 2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Proteinuria (R80.-)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Hematuria (R31.-)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Vasculitis (R95.-)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Nephrotic syndrome (N04.-)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Rapidly progressive glomerulonephritis (N-.7)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Alport</w:t>
            </w:r>
            <w:proofErr w:type="spellEnd"/>
            <w:r w:rsidR="00A55DCA">
              <w:rPr>
                <w:sz w:val="28"/>
                <w:szCs w:val="28"/>
              </w:rPr>
              <w:t xml:space="preserve"> syndrome (N18.1-N18.6)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Thin basement membrane disease (N02.2)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Minimal-change disease (N00.0)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Focal segmental </w:t>
            </w:r>
            <w:proofErr w:type="spellStart"/>
            <w:r w:rsidR="00A55DCA">
              <w:rPr>
                <w:sz w:val="28"/>
                <w:szCs w:val="28"/>
              </w:rPr>
              <w:t>glomerulosclerosis</w:t>
            </w:r>
            <w:proofErr w:type="spellEnd"/>
            <w:r w:rsidR="00A55DCA">
              <w:rPr>
                <w:sz w:val="28"/>
                <w:szCs w:val="28"/>
              </w:rPr>
              <w:t xml:space="preserve"> (N-.1)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IgA nephropathy (N02.8)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Membranous glomerulonephritis (N04.2) </w:t>
            </w:r>
          </w:p>
          <w:p w:rsidR="00A55DCA" w:rsidRDefault="0042521E" w:rsidP="0042521E">
            <w:pPr>
              <w:pStyle w:val="Default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Membranoproliferative</w:t>
            </w:r>
            <w:proofErr w:type="spellEnd"/>
            <w:r w:rsidR="00A55DCA">
              <w:rPr>
                <w:sz w:val="28"/>
                <w:szCs w:val="28"/>
              </w:rPr>
              <w:t xml:space="preserve"> glomerulonephritis (N05.5) </w:t>
            </w:r>
          </w:p>
          <w:p w:rsidR="00A55DCA" w:rsidRDefault="0042521E" w:rsidP="0042521E">
            <w:pPr>
              <w:pStyle w:val="Default"/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Acute post-streptococcal glomerulonephritis (N00.9)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Diabetic nephropathy (E-.21)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Lupus nephritis (M32.14)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Thrombotic </w:t>
            </w:r>
            <w:proofErr w:type="spellStart"/>
            <w:r w:rsidR="00A55DCA">
              <w:rPr>
                <w:sz w:val="28"/>
                <w:szCs w:val="28"/>
              </w:rPr>
              <w:t>microangiopathy</w:t>
            </w:r>
            <w:proofErr w:type="spellEnd"/>
            <w:r w:rsidR="00A55DCA">
              <w:rPr>
                <w:sz w:val="28"/>
                <w:szCs w:val="28"/>
              </w:rPr>
              <w:t xml:space="preserve"> (M31.1)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Systemic lupus erythematosus (M32.-)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Takayasu</w:t>
            </w:r>
            <w:proofErr w:type="spellEnd"/>
            <w:r w:rsidR="00A55DCA">
              <w:rPr>
                <w:sz w:val="28"/>
                <w:szCs w:val="28"/>
              </w:rPr>
              <w:t xml:space="preserve"> arteritis (M31.4)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Polyarteritis</w:t>
            </w:r>
            <w:proofErr w:type="spellEnd"/>
            <w:r w:rsidR="00A55DCA"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nodosa</w:t>
            </w:r>
            <w:proofErr w:type="spellEnd"/>
            <w:r w:rsidR="00A55DCA">
              <w:rPr>
                <w:sz w:val="28"/>
                <w:szCs w:val="28"/>
              </w:rPr>
              <w:t xml:space="preserve"> (M31.7) </w:t>
            </w:r>
          </w:p>
          <w:p w:rsidR="00A55DCA" w:rsidRDefault="00A55DCA" w:rsidP="00A55DC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569" w:type="dxa"/>
          </w:tcPr>
          <w:p w:rsidR="008902A8" w:rsidRDefault="008902A8" w:rsidP="00890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5DCA" w:rsidRDefault="00A55DCA" w:rsidP="008902A8">
            <w:pPr>
              <w:pStyle w:val="Default"/>
              <w:rPr>
                <w:sz w:val="28"/>
                <w:szCs w:val="28"/>
              </w:rPr>
            </w:pPr>
            <w:r w:rsidRPr="00CC3CB8">
              <w:rPr>
                <w:b/>
                <w:bCs/>
                <w:sz w:val="32"/>
                <w:szCs w:val="32"/>
              </w:rPr>
              <w:t>Kidney Disorders on Level 1 and 2</w:t>
            </w:r>
          </w:p>
          <w:p w:rsidR="00A55DCA" w:rsidRDefault="0042521E" w:rsidP="00890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Atheroembolism</w:t>
            </w:r>
            <w:proofErr w:type="spellEnd"/>
            <w:r w:rsidR="00A55DCA">
              <w:rPr>
                <w:sz w:val="28"/>
                <w:szCs w:val="28"/>
              </w:rPr>
              <w:t xml:space="preserve"> (I75.81)</w:t>
            </w:r>
          </w:p>
          <w:p w:rsidR="008902A8" w:rsidRDefault="0042521E" w:rsidP="0042521E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8902A8">
              <w:rPr>
                <w:sz w:val="28"/>
                <w:szCs w:val="28"/>
              </w:rPr>
              <w:t xml:space="preserve">Anti-neutrophil cytoplasmic antibody (ANCA)-associated </w:t>
            </w:r>
            <w:proofErr w:type="spellStart"/>
            <w:r w:rsidR="008902A8">
              <w:rPr>
                <w:sz w:val="28"/>
                <w:szCs w:val="28"/>
              </w:rPr>
              <w:t>vasculitides</w:t>
            </w:r>
            <w:proofErr w:type="spellEnd"/>
            <w:r w:rsidR="008902A8">
              <w:rPr>
                <w:sz w:val="28"/>
                <w:szCs w:val="28"/>
              </w:rPr>
              <w:t xml:space="preserve"> (I77.6) </w:t>
            </w:r>
          </w:p>
          <w:p w:rsidR="008902A8" w:rsidRDefault="0042521E" w:rsidP="00890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8902A8">
              <w:rPr>
                <w:sz w:val="28"/>
                <w:szCs w:val="28"/>
              </w:rPr>
              <w:t xml:space="preserve">Wegener’s granulomatosis (M31.31) </w:t>
            </w:r>
          </w:p>
          <w:p w:rsidR="00A55DCA" w:rsidRDefault="0042521E" w:rsidP="0042521E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Allergic granulomatosis </w:t>
            </w:r>
            <w:proofErr w:type="spellStart"/>
            <w:r w:rsidR="00A55DCA">
              <w:rPr>
                <w:sz w:val="28"/>
                <w:szCs w:val="28"/>
              </w:rPr>
              <w:t>angiitis</w:t>
            </w:r>
            <w:proofErr w:type="spellEnd"/>
            <w:r w:rsidR="00A55DCA">
              <w:rPr>
                <w:sz w:val="28"/>
                <w:szCs w:val="28"/>
              </w:rPr>
              <w:t xml:space="preserve"> (</w:t>
            </w:r>
            <w:proofErr w:type="spellStart"/>
            <w:r w:rsidR="00A55DCA">
              <w:rPr>
                <w:sz w:val="28"/>
                <w:szCs w:val="28"/>
              </w:rPr>
              <w:t>Churg</w:t>
            </w:r>
            <w:proofErr w:type="spellEnd"/>
            <w:r w:rsidR="00A55DCA">
              <w:rPr>
                <w:sz w:val="28"/>
                <w:szCs w:val="28"/>
              </w:rPr>
              <w:t xml:space="preserve"> Strauss syndrome) (M30.1)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>Henoch-</w:t>
            </w:r>
            <w:proofErr w:type="spellStart"/>
            <w:r w:rsidR="00A55DCA">
              <w:rPr>
                <w:sz w:val="28"/>
                <w:szCs w:val="28"/>
              </w:rPr>
              <w:t>Schonlein</w:t>
            </w:r>
            <w:proofErr w:type="spellEnd"/>
            <w:r w:rsidR="00A55DCA">
              <w:rPr>
                <w:sz w:val="28"/>
                <w:szCs w:val="28"/>
              </w:rPr>
              <w:t xml:space="preserve"> purpura (D69.0) </w:t>
            </w:r>
          </w:p>
          <w:p w:rsidR="00A55DCA" w:rsidRDefault="0042521E" w:rsidP="0042521E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Anti-glomerular basement membrane (GBM)-mediated glomerulonephritis (N08, N05.8)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Goodpasture</w:t>
            </w:r>
            <w:proofErr w:type="spellEnd"/>
            <w:r w:rsidR="00A55DCA">
              <w:rPr>
                <w:sz w:val="28"/>
                <w:szCs w:val="28"/>
              </w:rPr>
              <w:t xml:space="preserve"> syndrome (M31.0)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Hemolytic uremic syndrome (D59.3)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Antiphospholipid syndrome (D68.312)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Light-chain deposition disease (E85.81, N05.8)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Heavy-chain disease (C88.2)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55DCA">
              <w:rPr>
                <w:sz w:val="28"/>
                <w:szCs w:val="28"/>
              </w:rPr>
              <w:t>Cryoglobulinemia</w:t>
            </w:r>
            <w:proofErr w:type="spellEnd"/>
            <w:r w:rsidR="00A55DCA">
              <w:rPr>
                <w:sz w:val="28"/>
                <w:szCs w:val="28"/>
              </w:rPr>
              <w:t xml:space="preserve"> (D89.1)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Scleroderma renal crisis (M34.89)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HCV associated glomerulonephritis (N08) </w:t>
            </w:r>
          </w:p>
          <w:p w:rsidR="00A55DCA" w:rsidRDefault="0042521E" w:rsidP="00A5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 xml:space="preserve">HIV Nephropathy (B20) </w:t>
            </w:r>
          </w:p>
          <w:p w:rsidR="00A55DCA" w:rsidRDefault="0042521E" w:rsidP="0042521E">
            <w:pPr>
              <w:pStyle w:val="Default"/>
              <w:ind w:left="387" w:hanging="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A55DCA">
              <w:rPr>
                <w:sz w:val="28"/>
                <w:szCs w:val="28"/>
              </w:rPr>
              <w:t>Adv</w:t>
            </w:r>
            <w:bookmarkStart w:id="0" w:name="_GoBack"/>
            <w:bookmarkEnd w:id="0"/>
            <w:r w:rsidR="00A55DCA">
              <w:rPr>
                <w:sz w:val="28"/>
                <w:szCs w:val="28"/>
              </w:rPr>
              <w:t xml:space="preserve">erse effects of Immunosuppressive drugs (T45.-)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127700"/>
    <w:rsid w:val="003C440D"/>
    <w:rsid w:val="0042521E"/>
    <w:rsid w:val="008902A8"/>
    <w:rsid w:val="00A55DCA"/>
    <w:rsid w:val="00C5395F"/>
    <w:rsid w:val="00CC3CB8"/>
    <w:rsid w:val="00E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0F95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6</cp:revision>
  <dcterms:created xsi:type="dcterms:W3CDTF">2019-08-08T08:10:00Z</dcterms:created>
  <dcterms:modified xsi:type="dcterms:W3CDTF">2019-10-01T04:50:00Z</dcterms:modified>
</cp:coreProperties>
</file>